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337" w:rsidRPr="007F3C68" w:rsidRDefault="00CD3337" w:rsidP="009A7B99">
      <w:pPr>
        <w:spacing w:after="0" w:line="240" w:lineRule="auto"/>
        <w:ind w:left="-142" w:firstLine="0"/>
        <w:rPr>
          <w:rFonts w:cs="Arial"/>
          <w:b/>
        </w:rPr>
      </w:pPr>
    </w:p>
    <w:tbl>
      <w:tblPr>
        <w:tblStyle w:val="Tablaconcuadrcula"/>
        <w:tblW w:w="86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4"/>
      </w:tblGrid>
      <w:tr w:rsidR="00CD3337" w:rsidRPr="007F3C68" w:rsidTr="009A7B99">
        <w:trPr>
          <w:jc w:val="center"/>
        </w:trPr>
        <w:tc>
          <w:tcPr>
            <w:tcW w:w="8624" w:type="dxa"/>
          </w:tcPr>
          <w:p w:rsidR="00CD3337" w:rsidRPr="007F3C68" w:rsidRDefault="00CD3337" w:rsidP="009A7B99">
            <w:pPr>
              <w:spacing w:before="120" w:after="120" w:line="259" w:lineRule="auto"/>
              <w:ind w:left="-142" w:firstLine="0"/>
              <w:jc w:val="center"/>
              <w:rPr>
                <w:rFonts w:cs="Arial"/>
                <w:b/>
                <w:color w:val="C00000"/>
                <w:lang w:val="pt-BR"/>
              </w:rPr>
            </w:pPr>
            <w:r w:rsidRPr="007F3C68">
              <w:rPr>
                <w:rFonts w:cs="Arial"/>
                <w:b/>
                <w:bCs/>
                <w:color w:val="C00000"/>
              </w:rPr>
              <w:t>ANEXO DECLARACIÓN DE AUSENCIA DE CONFLICTO DE INTERÉS (DACI)</w:t>
            </w:r>
          </w:p>
        </w:tc>
      </w:tr>
    </w:tbl>
    <w:tbl>
      <w:tblPr>
        <w:tblStyle w:val="Tablaconcuadrcula"/>
        <w:tblpPr w:leftFromText="141" w:rightFromText="141" w:vertAnchor="text" w:horzAnchor="margin" w:tblpY="143"/>
        <w:tblW w:w="86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58"/>
        <w:gridCol w:w="6379"/>
      </w:tblGrid>
      <w:tr w:rsidR="009A7B99" w:rsidRPr="007F3C68" w:rsidTr="009A7B99">
        <w:trPr>
          <w:trHeight w:val="851"/>
        </w:trPr>
        <w:tc>
          <w:tcPr>
            <w:tcW w:w="2258" w:type="dxa"/>
            <w:shd w:val="pct10" w:color="auto" w:fill="auto"/>
            <w:vAlign w:val="center"/>
          </w:tcPr>
          <w:p w:rsidR="009A7B99" w:rsidRPr="007F3C68" w:rsidRDefault="009A7B99" w:rsidP="009A7B99">
            <w:pPr>
              <w:spacing w:before="120" w:after="120" w:line="259" w:lineRule="auto"/>
              <w:ind w:left="-142" w:firstLine="29"/>
              <w:jc w:val="center"/>
              <w:rPr>
                <w:rFonts w:eastAsia="Calibri" w:cs="Arial"/>
                <w:b/>
              </w:rPr>
            </w:pPr>
            <w:r w:rsidRPr="007F3C68">
              <w:rPr>
                <w:rFonts w:eastAsia="Calibri" w:cs="Arial"/>
                <w:b/>
              </w:rPr>
              <w:t>Expediente</w:t>
            </w:r>
          </w:p>
        </w:tc>
        <w:tc>
          <w:tcPr>
            <w:tcW w:w="6379" w:type="dxa"/>
            <w:vAlign w:val="center"/>
          </w:tcPr>
          <w:p w:rsidR="009A7B99" w:rsidRPr="007F3C68" w:rsidRDefault="009A7B99" w:rsidP="009A7B99">
            <w:pPr>
              <w:spacing w:before="120" w:after="120" w:line="259" w:lineRule="auto"/>
              <w:ind w:left="-142"/>
              <w:rPr>
                <w:rFonts w:eastAsia="Calibri" w:cs="Arial"/>
                <w:b/>
              </w:rPr>
            </w:pPr>
          </w:p>
        </w:tc>
      </w:tr>
      <w:tr w:rsidR="009A7B99" w:rsidRPr="007F3C68" w:rsidTr="009A7B99">
        <w:trPr>
          <w:trHeight w:val="851"/>
        </w:trPr>
        <w:tc>
          <w:tcPr>
            <w:tcW w:w="2258" w:type="dxa"/>
            <w:shd w:val="pct10" w:color="auto" w:fill="auto"/>
            <w:vAlign w:val="center"/>
          </w:tcPr>
          <w:p w:rsidR="009A7B99" w:rsidRPr="007F3C68" w:rsidRDefault="009A7B99" w:rsidP="009A7B99">
            <w:pPr>
              <w:spacing w:before="120" w:after="120" w:line="259" w:lineRule="auto"/>
              <w:ind w:left="-142" w:firstLine="29"/>
              <w:jc w:val="center"/>
              <w:rPr>
                <w:rFonts w:eastAsia="Calibri" w:cs="Arial"/>
                <w:b/>
              </w:rPr>
            </w:pPr>
            <w:r w:rsidRPr="007F3C68">
              <w:rPr>
                <w:rFonts w:eastAsia="Calibri" w:cs="Arial"/>
                <w:b/>
              </w:rPr>
              <w:t>Subvención</w:t>
            </w:r>
          </w:p>
        </w:tc>
        <w:tc>
          <w:tcPr>
            <w:tcW w:w="6379" w:type="dxa"/>
            <w:vAlign w:val="center"/>
          </w:tcPr>
          <w:p w:rsidR="009A7B99" w:rsidRPr="007F3C68" w:rsidRDefault="009A7B99" w:rsidP="009A7B99">
            <w:pPr>
              <w:spacing w:before="120" w:after="120" w:line="259" w:lineRule="auto"/>
              <w:ind w:left="-142"/>
              <w:rPr>
                <w:rFonts w:eastAsia="Calibri" w:cs="Arial"/>
                <w:b/>
              </w:rPr>
            </w:pPr>
          </w:p>
        </w:tc>
      </w:tr>
      <w:tr w:rsidR="009A7B99" w:rsidRPr="007F3C68" w:rsidTr="009A7B99">
        <w:trPr>
          <w:trHeight w:val="851"/>
        </w:trPr>
        <w:tc>
          <w:tcPr>
            <w:tcW w:w="2258" w:type="dxa"/>
            <w:shd w:val="pct10" w:color="auto" w:fill="auto"/>
            <w:vAlign w:val="center"/>
          </w:tcPr>
          <w:p w:rsidR="009A7B99" w:rsidRPr="007F3C68" w:rsidRDefault="009A7B99" w:rsidP="009A7B99">
            <w:pPr>
              <w:spacing w:before="120" w:after="120" w:line="259" w:lineRule="auto"/>
              <w:ind w:left="-142" w:firstLine="29"/>
              <w:jc w:val="center"/>
              <w:rPr>
                <w:rFonts w:eastAsia="Calibri" w:cs="Arial"/>
                <w:b/>
              </w:rPr>
            </w:pPr>
            <w:r w:rsidRPr="007F3C68">
              <w:rPr>
                <w:rFonts w:eastAsia="Calibri" w:cs="Arial"/>
                <w:b/>
              </w:rPr>
              <w:t>Componente PRTR</w:t>
            </w:r>
          </w:p>
        </w:tc>
        <w:tc>
          <w:tcPr>
            <w:tcW w:w="6379" w:type="dxa"/>
            <w:vAlign w:val="center"/>
          </w:tcPr>
          <w:p w:rsidR="009A7B99" w:rsidRPr="007F3C68" w:rsidRDefault="009A7B99" w:rsidP="009A7B99">
            <w:pPr>
              <w:spacing w:before="120" w:after="120" w:line="259" w:lineRule="auto"/>
              <w:ind w:left="-142"/>
              <w:rPr>
                <w:rFonts w:eastAsia="Calibri" w:cs="Arial"/>
                <w:b/>
              </w:rPr>
            </w:pPr>
          </w:p>
        </w:tc>
      </w:tr>
      <w:tr w:rsidR="009A7B99" w:rsidRPr="007F3C68" w:rsidTr="009A7B99">
        <w:trPr>
          <w:trHeight w:val="851"/>
        </w:trPr>
        <w:tc>
          <w:tcPr>
            <w:tcW w:w="2258" w:type="dxa"/>
            <w:shd w:val="pct10" w:color="auto" w:fill="auto"/>
            <w:vAlign w:val="center"/>
          </w:tcPr>
          <w:p w:rsidR="009A7B99" w:rsidRPr="007F3C68" w:rsidRDefault="009A7B99" w:rsidP="009A7B99">
            <w:pPr>
              <w:spacing w:before="120" w:after="120" w:line="259" w:lineRule="auto"/>
              <w:ind w:left="-142" w:firstLine="29"/>
              <w:jc w:val="center"/>
              <w:rPr>
                <w:rFonts w:eastAsia="Calibri" w:cs="Arial"/>
                <w:b/>
              </w:rPr>
            </w:pPr>
            <w:r w:rsidRPr="007F3C68">
              <w:rPr>
                <w:rFonts w:eastAsia="Calibri" w:cs="Arial"/>
                <w:b/>
              </w:rPr>
              <w:t>Inversión / Reforma</w:t>
            </w:r>
          </w:p>
        </w:tc>
        <w:tc>
          <w:tcPr>
            <w:tcW w:w="6379" w:type="dxa"/>
            <w:vAlign w:val="center"/>
          </w:tcPr>
          <w:p w:rsidR="009A7B99" w:rsidRPr="007F3C68" w:rsidRDefault="009A7B99" w:rsidP="009A7B99">
            <w:pPr>
              <w:spacing w:before="120" w:after="120" w:line="259" w:lineRule="auto"/>
              <w:ind w:left="-142"/>
              <w:rPr>
                <w:rFonts w:eastAsia="Calibri" w:cs="Arial"/>
                <w:b/>
              </w:rPr>
            </w:pPr>
          </w:p>
        </w:tc>
      </w:tr>
    </w:tbl>
    <w:p w:rsidR="009A7B99" w:rsidRDefault="009A7B99" w:rsidP="009A7B99">
      <w:pPr>
        <w:widowControl w:val="0"/>
        <w:spacing w:before="120" w:after="120" w:line="276" w:lineRule="auto"/>
        <w:ind w:firstLine="0"/>
        <w:rPr>
          <w:rFonts w:cs="Arial"/>
          <w:color w:val="auto"/>
        </w:rPr>
      </w:pPr>
    </w:p>
    <w:p w:rsidR="00CD3337" w:rsidRPr="007F3C68" w:rsidRDefault="00CD3337" w:rsidP="009A7B99">
      <w:pPr>
        <w:widowControl w:val="0"/>
        <w:spacing w:before="120" w:after="120" w:line="276" w:lineRule="auto"/>
        <w:ind w:left="-142"/>
        <w:rPr>
          <w:rFonts w:cs="Arial"/>
          <w:color w:val="auto"/>
        </w:rPr>
      </w:pPr>
      <w:r w:rsidRPr="007F3C68">
        <w:rPr>
          <w:rFonts w:cs="Arial"/>
          <w:color w:val="auto"/>
        </w:rPr>
        <w:t xml:space="preserve">D./Dª                                                                                    </w:t>
      </w:r>
      <w:proofErr w:type="gramStart"/>
      <w:r w:rsidRPr="007F3C68">
        <w:rPr>
          <w:rFonts w:cs="Arial"/>
          <w:color w:val="auto"/>
        </w:rPr>
        <w:t xml:space="preserve">  ,</w:t>
      </w:r>
      <w:proofErr w:type="gramEnd"/>
      <w:r w:rsidRPr="007F3C68">
        <w:rPr>
          <w:rFonts w:cs="Arial"/>
          <w:color w:val="auto"/>
        </w:rPr>
        <w:t xml:space="preserve"> con NIF                                 , al objeto de garantizar la imparcialidad en el procedimiento de concesión de subvención referenciado</w:t>
      </w:r>
      <w:r w:rsidRPr="007F3C68">
        <w:rPr>
          <w:rFonts w:cs="Arial"/>
          <w:iCs/>
          <w:color w:val="auto"/>
        </w:rPr>
        <w:t>, como participante en el proceso de preparación y tramitación del expediente</w:t>
      </w:r>
      <w:r w:rsidRPr="007F3C68">
        <w:rPr>
          <w:rFonts w:cs="Arial"/>
          <w:color w:val="auto"/>
        </w:rPr>
        <w:t>,</w:t>
      </w:r>
    </w:p>
    <w:p w:rsidR="00CD3337" w:rsidRPr="007F3C68" w:rsidRDefault="00CD3337" w:rsidP="009A7B99">
      <w:pPr>
        <w:widowControl w:val="0"/>
        <w:spacing w:before="240" w:after="240" w:line="276" w:lineRule="auto"/>
        <w:ind w:left="-142"/>
        <w:rPr>
          <w:rFonts w:cs="Arial"/>
          <w:color w:val="auto"/>
        </w:rPr>
      </w:pPr>
      <w:r w:rsidRPr="007F3C68">
        <w:rPr>
          <w:rFonts w:cs="Arial"/>
          <w:b/>
          <w:color w:val="auto"/>
        </w:rPr>
        <w:t>DECLARA</w:t>
      </w:r>
      <w:r w:rsidRPr="007F3C68">
        <w:rPr>
          <w:rFonts w:cs="Arial"/>
          <w:color w:val="auto"/>
        </w:rPr>
        <w:t>:</w:t>
      </w:r>
      <w:bookmarkStart w:id="0" w:name="_GoBack"/>
      <w:bookmarkEnd w:id="0"/>
    </w:p>
    <w:p w:rsidR="00CD3337" w:rsidRPr="007F3C68" w:rsidRDefault="00CD3337" w:rsidP="009A7B99">
      <w:pPr>
        <w:widowControl w:val="0"/>
        <w:spacing w:before="120" w:after="120" w:line="276" w:lineRule="auto"/>
        <w:ind w:left="-142"/>
        <w:rPr>
          <w:rFonts w:cs="Arial"/>
          <w:color w:val="auto"/>
        </w:rPr>
      </w:pPr>
      <w:r w:rsidRPr="007F3C68">
        <w:rPr>
          <w:rFonts w:cs="Arial"/>
          <w:b/>
          <w:bCs/>
          <w:color w:val="auto"/>
        </w:rPr>
        <w:t>Primero.</w:t>
      </w:r>
      <w:r w:rsidRPr="007F3C68">
        <w:rPr>
          <w:rFonts w:cs="Arial"/>
          <w:color w:val="auto"/>
        </w:rPr>
        <w:t xml:space="preserve"> Estar informado de lo siguiente:</w:t>
      </w:r>
    </w:p>
    <w:p w:rsidR="00CD3337" w:rsidRPr="007F3C68" w:rsidRDefault="00CD3337" w:rsidP="009A7B99">
      <w:pPr>
        <w:pStyle w:val="Prrafodelista"/>
        <w:widowControl w:val="0"/>
        <w:numPr>
          <w:ilvl w:val="0"/>
          <w:numId w:val="6"/>
        </w:numPr>
        <w:spacing w:before="120" w:after="120"/>
        <w:ind w:left="-142"/>
        <w:jc w:val="both"/>
        <w:rPr>
          <w:rFonts w:ascii="Arial" w:hAnsi="Arial" w:cs="Arial"/>
        </w:rPr>
      </w:pPr>
      <w:r w:rsidRPr="007F3C68">
        <w:rPr>
          <w:rFonts w:ascii="Arial" w:hAnsi="Arial" w:cs="Arial"/>
        </w:rPr>
        <w:t>Que el artículo</w:t>
      </w:r>
      <w:r w:rsidRPr="007F3C68">
        <w:rPr>
          <w:rFonts w:ascii="Arial" w:hAnsi="Arial" w:cs="Arial"/>
          <w:lang w:val="pt-PT"/>
        </w:rPr>
        <w:t xml:space="preserve"> 61.3 </w:t>
      </w:r>
      <w:r w:rsidRPr="007F3C68">
        <w:rPr>
          <w:rFonts w:ascii="Arial" w:hAnsi="Arial" w:cs="Arial"/>
        </w:rPr>
        <w:t>«Conflicto de intereses</w:t>
      </w:r>
      <w:r w:rsidRPr="007F3C68">
        <w:rPr>
          <w:rFonts w:ascii="Arial" w:hAnsi="Arial" w:cs="Arial"/>
          <w:lang w:val="it-IT"/>
        </w:rPr>
        <w:t>»</w:t>
      </w:r>
      <w:r w:rsidRPr="007F3C68">
        <w:rPr>
          <w:rFonts w:ascii="Arial" w:hAnsi="Arial" w:cs="Arial"/>
        </w:rPr>
        <w:t xml:space="preserve">, del Reglamento (UE, </w:t>
      </w:r>
      <w:proofErr w:type="spellStart"/>
      <w:r w:rsidRPr="007F3C68">
        <w:rPr>
          <w:rFonts w:ascii="Arial" w:hAnsi="Arial" w:cs="Arial"/>
        </w:rPr>
        <w:t>Euratom</w:t>
      </w:r>
      <w:proofErr w:type="spellEnd"/>
      <w:r w:rsidRPr="007F3C68">
        <w:rPr>
          <w:rFonts w:ascii="Arial" w:hAnsi="Arial" w:cs="Arial"/>
        </w:rPr>
        <w:t>) 2018/1046 del Parlamento Europeo y del Consejo, de 18 de julio (Reglamento financiero de la UE) establece que «</w:t>
      </w:r>
      <w:r w:rsidRPr="007F3C68">
        <w:rPr>
          <w:rFonts w:ascii="Arial" w:hAnsi="Arial" w:cs="Arial"/>
          <w:lang w:val="pt-PT"/>
        </w:rPr>
        <w:t>existir</w:t>
      </w:r>
      <w:r w:rsidRPr="007F3C68">
        <w:rPr>
          <w:rFonts w:ascii="Arial" w:hAnsi="Arial" w:cs="Arial"/>
        </w:rPr>
        <w:t>á conflicto de intereses cuando el ejercicio imparcial y objetivo de las funciones se vea comprometido por razones familiares, afectivas, de afinidad política</w:t>
      </w:r>
      <w:r w:rsidRPr="007F3C68">
        <w:rPr>
          <w:rFonts w:ascii="Arial" w:hAnsi="Arial" w:cs="Arial"/>
          <w:lang w:val="pt-PT"/>
        </w:rPr>
        <w:t xml:space="preserve"> o nacional, de inter</w:t>
      </w:r>
      <w:r w:rsidRPr="007F3C68">
        <w:rPr>
          <w:rFonts w:ascii="Arial" w:hAnsi="Arial" w:cs="Arial"/>
        </w:rPr>
        <w:t>é</w:t>
      </w:r>
      <w:r w:rsidRPr="007F3C68">
        <w:rPr>
          <w:rFonts w:ascii="Arial" w:hAnsi="Arial" w:cs="Arial"/>
          <w:lang w:val="pt-PT"/>
        </w:rPr>
        <w:t>s económico</w:t>
      </w:r>
      <w:r w:rsidRPr="007F3C68">
        <w:rPr>
          <w:rFonts w:ascii="Arial" w:hAnsi="Arial" w:cs="Arial"/>
        </w:rPr>
        <w:t xml:space="preserve"> o por cualquier motivo directo o indirecto de </w:t>
      </w:r>
      <w:proofErr w:type="spellStart"/>
      <w:r w:rsidRPr="007F3C68">
        <w:rPr>
          <w:rFonts w:ascii="Arial" w:hAnsi="Arial" w:cs="Arial"/>
        </w:rPr>
        <w:t>interé</w:t>
      </w:r>
      <w:proofErr w:type="spellEnd"/>
      <w:r w:rsidRPr="007F3C68">
        <w:rPr>
          <w:rFonts w:ascii="Arial" w:hAnsi="Arial" w:cs="Arial"/>
          <w:lang w:val="pt-PT"/>
        </w:rPr>
        <w:t>s personal.</w:t>
      </w:r>
      <w:r w:rsidRPr="007F3C68">
        <w:rPr>
          <w:rFonts w:ascii="Arial" w:hAnsi="Arial" w:cs="Arial"/>
          <w:lang w:val="it-IT"/>
        </w:rPr>
        <w:t>»</w:t>
      </w:r>
    </w:p>
    <w:p w:rsidR="00CD3337" w:rsidRPr="007F3C68" w:rsidRDefault="00CD3337" w:rsidP="009A7B99">
      <w:pPr>
        <w:pStyle w:val="Prrafodelista"/>
        <w:widowControl w:val="0"/>
        <w:numPr>
          <w:ilvl w:val="0"/>
          <w:numId w:val="6"/>
        </w:numPr>
        <w:spacing w:before="120" w:after="120"/>
        <w:ind w:left="-142"/>
        <w:jc w:val="both"/>
        <w:rPr>
          <w:rFonts w:ascii="Arial" w:hAnsi="Arial" w:cs="Arial"/>
        </w:rPr>
      </w:pPr>
      <w:r w:rsidRPr="007F3C68">
        <w:rPr>
          <w:rFonts w:ascii="Arial" w:hAnsi="Arial" w:cs="Arial"/>
        </w:rPr>
        <w:t>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rsidR="00CD3337" w:rsidRPr="007F3C68" w:rsidRDefault="00CD3337" w:rsidP="009A7B99">
      <w:pPr>
        <w:pStyle w:val="Prrafodelista"/>
        <w:widowControl w:val="0"/>
        <w:numPr>
          <w:ilvl w:val="0"/>
          <w:numId w:val="6"/>
        </w:numPr>
        <w:spacing w:before="120" w:after="120"/>
        <w:ind w:left="-142"/>
        <w:jc w:val="both"/>
        <w:rPr>
          <w:rFonts w:ascii="Arial" w:hAnsi="Arial" w:cs="Arial"/>
        </w:rPr>
      </w:pPr>
      <w:r w:rsidRPr="007F3C68">
        <w:rPr>
          <w:rFonts w:ascii="Arial" w:hAnsi="Arial" w:cs="Arial"/>
        </w:rPr>
        <w:t>Que, de conformidad con el apartado 4 de la citada disposición adicional centésima décima segunda:</w:t>
      </w:r>
    </w:p>
    <w:p w:rsidR="00CD3337" w:rsidRPr="007F3C68" w:rsidRDefault="00CD3337" w:rsidP="009A7B99">
      <w:pPr>
        <w:pStyle w:val="Prrafodelista"/>
        <w:widowControl w:val="0"/>
        <w:numPr>
          <w:ilvl w:val="0"/>
          <w:numId w:val="4"/>
        </w:numPr>
        <w:spacing w:before="120" w:after="120"/>
        <w:ind w:left="-142"/>
        <w:jc w:val="both"/>
        <w:rPr>
          <w:rFonts w:ascii="Arial" w:hAnsi="Arial" w:cs="Arial"/>
        </w:rPr>
      </w:pPr>
      <w:r w:rsidRPr="007F3C68">
        <w:rPr>
          <w:rFonts w:ascii="Arial" w:hAnsi="Arial" w:cs="Arial"/>
        </w:rPr>
        <w:t xml:space="preserve">A través de la herramienta informática de data </w:t>
      </w:r>
      <w:proofErr w:type="spellStart"/>
      <w:r w:rsidRPr="007F3C68">
        <w:rPr>
          <w:rFonts w:ascii="Arial" w:hAnsi="Arial" w:cs="Arial"/>
        </w:rPr>
        <w:t>mining</w:t>
      </w:r>
      <w:proofErr w:type="spellEnd"/>
      <w:r w:rsidRPr="007F3C68">
        <w:rPr>
          <w:rFonts w:ascii="Arial" w:hAnsi="Arial" w:cs="Arial"/>
        </w:rPr>
        <w:t xml:space="preserve">, con sede en la Agencia Estatal de Administración Tributaria de España, MINERVA o cualquier otra que la sustituya en el futuro, se analizarán las posibles relaciones familiares o vinculaciones societarias, directas o indirectas, en las que se pueda dar un interés personal o económico susceptible de provocar un conflicto de interés, entre empleados públicos y resto de personal al servicio de entidades decisoras, ejecutoras e instrumentales que participen, de forma individual o mediante su pertenencia a órganos colegiados, y los solicitantes participantes en cada procedimiento. En particular, este análisis se llevará a cabo para las personas que tengan la consideración de decisores de la operación, de conformidad con el artículo 3.1 de la Orden HFP/55/2023, de 24 de enero, relativa al análisis sistemático del riesgo de conflicto de interés en los procedimientos </w:t>
      </w:r>
      <w:r w:rsidRPr="007F3C68">
        <w:rPr>
          <w:rFonts w:ascii="Arial" w:hAnsi="Arial" w:cs="Arial"/>
        </w:rPr>
        <w:lastRenderedPageBreak/>
        <w:t>que ejecutan el Plan de Recuperación, Transformación y Resiliencia.</w:t>
      </w:r>
    </w:p>
    <w:p w:rsidR="00CD3337" w:rsidRPr="007F3C68" w:rsidRDefault="00CD3337" w:rsidP="009A7B99">
      <w:pPr>
        <w:pStyle w:val="Prrafodelista"/>
        <w:widowControl w:val="0"/>
        <w:numPr>
          <w:ilvl w:val="0"/>
          <w:numId w:val="4"/>
        </w:numPr>
        <w:spacing w:before="120" w:after="120"/>
        <w:ind w:left="-142"/>
        <w:jc w:val="both"/>
        <w:rPr>
          <w:rFonts w:ascii="Arial" w:hAnsi="Arial" w:cs="Arial"/>
        </w:rPr>
      </w:pPr>
      <w:r w:rsidRPr="007F3C68">
        <w:rPr>
          <w:rFonts w:ascii="Arial" w:hAnsi="Arial" w:cs="Arial"/>
        </w:rPr>
        <w:t>«Para la identificación de las relaciones o vinculaciones la herramienta contendrá, entre otros, los datos de titularidad real de las personas jurídicas a las que se refiere el artículo 22.</w:t>
      </w:r>
      <w:proofErr w:type="gramStart"/>
      <w:r w:rsidRPr="007F3C68">
        <w:rPr>
          <w:rFonts w:ascii="Arial" w:hAnsi="Arial" w:cs="Arial"/>
        </w:rPr>
        <w:t>2.d</w:t>
      </w:r>
      <w:proofErr w:type="gramEnd"/>
      <w:r w:rsidRPr="007F3C68">
        <w:rPr>
          <w:rFonts w:ascii="Arial" w:hAnsi="Arial" w:cs="Arial"/>
        </w:rPr>
        <w:t>).iii) del Reglamento (UE) 241/2021, de 12 febrero, obrantes en las bases de datos de la Agencia Estatal de Administración Tributaria y los obtenidos a través de los convenios suscritos con los Colegios de Notarios y Registradores».</w:t>
      </w:r>
    </w:p>
    <w:p w:rsidR="00CD3337" w:rsidRPr="007F3C68" w:rsidRDefault="00CD3337" w:rsidP="009A7B99">
      <w:pPr>
        <w:pStyle w:val="Prrafodelista"/>
        <w:widowControl w:val="0"/>
        <w:numPr>
          <w:ilvl w:val="0"/>
          <w:numId w:val="6"/>
        </w:numPr>
        <w:spacing w:before="120" w:after="120"/>
        <w:ind w:left="-142"/>
        <w:jc w:val="both"/>
        <w:rPr>
          <w:rFonts w:ascii="Arial" w:hAnsi="Arial" w:cs="Arial"/>
        </w:rPr>
      </w:pPr>
      <w:r w:rsidRPr="007F3C68">
        <w:rPr>
          <w:rFonts w:ascii="Arial" w:hAnsi="Arial" w:cs="Arial"/>
        </w:rPr>
        <w:t>Que el artículo</w:t>
      </w:r>
      <w:r w:rsidRPr="007F3C68">
        <w:rPr>
          <w:rFonts w:ascii="Arial" w:hAnsi="Arial" w:cs="Arial"/>
          <w:lang w:val="pt-PT"/>
        </w:rPr>
        <w:t xml:space="preserve"> 23 </w:t>
      </w:r>
      <w:r w:rsidRPr="007F3C68">
        <w:rPr>
          <w:rFonts w:ascii="Arial" w:hAnsi="Arial" w:cs="Arial"/>
        </w:rPr>
        <w:t>«</w:t>
      </w:r>
      <w:r w:rsidRPr="007F3C68">
        <w:rPr>
          <w:rFonts w:ascii="Arial" w:hAnsi="Arial" w:cs="Arial"/>
          <w:lang w:val="de-DE"/>
        </w:rPr>
        <w:t>Abstención</w:t>
      </w:r>
      <w:r w:rsidRPr="007F3C68">
        <w:rPr>
          <w:rFonts w:ascii="Arial" w:hAnsi="Arial" w:cs="Arial"/>
          <w:lang w:val="it-IT"/>
        </w:rPr>
        <w:t>»</w:t>
      </w:r>
      <w:r w:rsidRPr="007F3C68">
        <w:rPr>
          <w:rFonts w:ascii="Arial" w:hAnsi="Arial" w:cs="Arial"/>
        </w:rPr>
        <w:t xml:space="preserve">, de la Ley 40/2015, de 1 octubre, de </w:t>
      </w:r>
      <w:proofErr w:type="spellStart"/>
      <w:r w:rsidRPr="007F3C68">
        <w:rPr>
          <w:rFonts w:ascii="Arial" w:hAnsi="Arial" w:cs="Arial"/>
        </w:rPr>
        <w:t>Ré</w:t>
      </w:r>
      <w:proofErr w:type="spellEnd"/>
      <w:r w:rsidRPr="007F3C68">
        <w:rPr>
          <w:rFonts w:ascii="Arial" w:hAnsi="Arial" w:cs="Arial"/>
          <w:lang w:val="de-DE"/>
        </w:rPr>
        <w:t>gimen Jurídico</w:t>
      </w:r>
      <w:r w:rsidRPr="007F3C68">
        <w:rPr>
          <w:rFonts w:ascii="Arial" w:hAnsi="Arial" w:cs="Arial"/>
        </w:rPr>
        <w:t xml:space="preserve"> del Sector Público, en relación con el artículo 33 de la Ley 5/2021, de 29 de junio, de Organización y Régimen Jurídico del Sector Público Autonómico de Aragón, establece como causas de abstención:</w:t>
      </w:r>
    </w:p>
    <w:p w:rsidR="00CD3337" w:rsidRPr="007F3C68" w:rsidRDefault="00CD3337" w:rsidP="009A7B99">
      <w:pPr>
        <w:widowControl w:val="0"/>
        <w:numPr>
          <w:ilvl w:val="0"/>
          <w:numId w:val="5"/>
        </w:numPr>
        <w:spacing w:before="120" w:after="120" w:line="276" w:lineRule="auto"/>
        <w:ind w:left="-142" w:hanging="283"/>
        <w:rPr>
          <w:rFonts w:cs="Arial"/>
          <w:color w:val="auto"/>
        </w:rPr>
      </w:pPr>
      <w:r w:rsidRPr="007F3C68">
        <w:rPr>
          <w:rFonts w:cs="Arial"/>
          <w:color w:val="auto"/>
        </w:rPr>
        <w:t>Tener interés personal en el asunto de que se trate o en otro en cuya resolución pudiera influir la de aquél; ser persona administradora de sociedad o entidad interesada, o tener cuestión litigiosa pendiente con alguna</w:t>
      </w:r>
      <w:r w:rsidRPr="007F3C68">
        <w:rPr>
          <w:rFonts w:cs="Arial"/>
          <w:color w:val="auto"/>
          <w:lang w:val="pt-PT"/>
        </w:rPr>
        <w:t xml:space="preserve"> persona interesada.</w:t>
      </w:r>
    </w:p>
    <w:p w:rsidR="00CD3337" w:rsidRPr="007F3C68" w:rsidRDefault="00CD3337" w:rsidP="009A7B99">
      <w:pPr>
        <w:widowControl w:val="0"/>
        <w:numPr>
          <w:ilvl w:val="0"/>
          <w:numId w:val="5"/>
        </w:numPr>
        <w:spacing w:before="120" w:after="120" w:line="276" w:lineRule="auto"/>
        <w:ind w:left="-142" w:hanging="283"/>
        <w:rPr>
          <w:rFonts w:cs="Arial"/>
          <w:color w:val="auto"/>
        </w:rPr>
      </w:pPr>
      <w:r w:rsidRPr="007F3C68">
        <w:rPr>
          <w:rFonts w:cs="Arial"/>
          <w:color w:val="auto"/>
        </w:rPr>
        <w:t>Tener un vínculo matrimonial o situación de hecho asimilable y el parentesco de consanguinidad dentro del cuarto grado o de afinidad dentro del segundo, con cualquiera de las personas interesadas, con las personas administradoras de entidades o sociedades interesadas y también con las personas asesoras, representantes legales o mandatarias que intervengan en el procedimiento, así como compartir despacho profesional o estar asociado con éstas para el asesoramiento, la representación o el mandato.</w:t>
      </w:r>
    </w:p>
    <w:p w:rsidR="00CD3337" w:rsidRPr="007F3C68" w:rsidRDefault="00CD3337" w:rsidP="009A7B99">
      <w:pPr>
        <w:widowControl w:val="0"/>
        <w:numPr>
          <w:ilvl w:val="0"/>
          <w:numId w:val="5"/>
        </w:numPr>
        <w:spacing w:before="120" w:after="120" w:line="276" w:lineRule="auto"/>
        <w:ind w:left="-142" w:hanging="283"/>
        <w:rPr>
          <w:rFonts w:cs="Arial"/>
          <w:color w:val="auto"/>
        </w:rPr>
      </w:pPr>
      <w:r w:rsidRPr="007F3C68">
        <w:rPr>
          <w:rFonts w:cs="Arial"/>
          <w:color w:val="auto"/>
        </w:rPr>
        <w:t>Tener amistad íntima o enemistad manifiesta con alguna de las personas mencionadas en el apartado anterior.</w:t>
      </w:r>
    </w:p>
    <w:p w:rsidR="00CD3337" w:rsidRPr="007F3C68" w:rsidRDefault="00CD3337" w:rsidP="009A7B99">
      <w:pPr>
        <w:widowControl w:val="0"/>
        <w:numPr>
          <w:ilvl w:val="0"/>
          <w:numId w:val="5"/>
        </w:numPr>
        <w:spacing w:before="120" w:after="120" w:line="276" w:lineRule="auto"/>
        <w:ind w:left="-142" w:hanging="283"/>
        <w:rPr>
          <w:rFonts w:cs="Arial"/>
          <w:color w:val="auto"/>
        </w:rPr>
      </w:pPr>
      <w:r w:rsidRPr="007F3C68">
        <w:rPr>
          <w:rFonts w:cs="Arial"/>
          <w:color w:val="auto"/>
        </w:rPr>
        <w:t>Haber intervenido como perito o como testigo en el procedimiento de que se trate.</w:t>
      </w:r>
    </w:p>
    <w:p w:rsidR="00CD3337" w:rsidRPr="007F3C68" w:rsidRDefault="00CD3337" w:rsidP="009A7B99">
      <w:pPr>
        <w:widowControl w:val="0"/>
        <w:numPr>
          <w:ilvl w:val="0"/>
          <w:numId w:val="5"/>
        </w:numPr>
        <w:spacing w:before="120" w:after="120" w:line="276" w:lineRule="auto"/>
        <w:ind w:left="-142" w:hanging="283"/>
        <w:rPr>
          <w:rFonts w:cs="Arial"/>
          <w:color w:val="auto"/>
        </w:rPr>
      </w:pPr>
      <w:r w:rsidRPr="007F3C68">
        <w:rPr>
          <w:rFonts w:cs="Arial"/>
          <w:color w:val="auto"/>
        </w:rPr>
        <w:t>Tener relación de servicio con persona natural o jurídica interesada directamente en el asunto, o haberle prestado en los dos ú</w:t>
      </w:r>
      <w:r w:rsidRPr="007F3C68">
        <w:rPr>
          <w:rFonts w:cs="Arial"/>
          <w:color w:val="auto"/>
          <w:lang w:val="pt-PT"/>
        </w:rPr>
        <w:t>ltimos años</w:t>
      </w:r>
      <w:r w:rsidRPr="007F3C68">
        <w:rPr>
          <w:rFonts w:cs="Arial"/>
          <w:color w:val="auto"/>
        </w:rPr>
        <w:t xml:space="preserve"> servicios profesionales de cualquier tipo y en cualquier circunstancia o lugar</w:t>
      </w:r>
      <w:r w:rsidRPr="007F3C68">
        <w:rPr>
          <w:rFonts w:cs="Arial"/>
          <w:color w:val="auto"/>
          <w:lang w:val="it-IT"/>
        </w:rPr>
        <w:t>»</w:t>
      </w:r>
      <w:r w:rsidRPr="007F3C68">
        <w:rPr>
          <w:rFonts w:cs="Arial"/>
          <w:color w:val="auto"/>
        </w:rPr>
        <w:t>.</w:t>
      </w:r>
    </w:p>
    <w:p w:rsidR="00CD3337" w:rsidRPr="007F3C68" w:rsidRDefault="009A7B99" w:rsidP="009A7B99">
      <w:pPr>
        <w:widowControl w:val="0"/>
        <w:spacing w:before="120" w:after="120" w:line="276" w:lineRule="auto"/>
        <w:ind w:left="-142"/>
        <w:rPr>
          <w:rFonts w:cs="Arial"/>
          <w:color w:val="auto"/>
        </w:rPr>
      </w:pPr>
      <w:r w:rsidRPr="007F3C68">
        <w:rPr>
          <w:rFonts w:cs="Arial"/>
          <w:noProof/>
          <w:color w:val="auto"/>
          <w:lang w:eastAsia="es-ES"/>
        </w:rPr>
        <mc:AlternateContent>
          <mc:Choice Requires="wps">
            <w:drawing>
              <wp:anchor distT="0" distB="0" distL="114300" distR="114300" simplePos="0" relativeHeight="251659264" behindDoc="0" locked="0" layoutInCell="1" allowOverlap="1" wp14:anchorId="41456EAB" wp14:editId="1FB37B5A">
                <wp:simplePos x="0" y="0"/>
                <wp:positionH relativeFrom="margin">
                  <wp:align>left</wp:align>
                </wp:positionH>
                <wp:positionV relativeFrom="paragraph">
                  <wp:posOffset>7813</wp:posOffset>
                </wp:positionV>
                <wp:extent cx="142875" cy="16192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142875" cy="161925"/>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337" w:rsidRDefault="00CD3337" w:rsidP="00CD3337">
                            <w:r>
                              <w:t>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456EAB" id="Rectángulo 4" o:spid="_x0000_s1026" style="position:absolute;left:0;text-align:left;margin-left:0;margin-top:.6pt;width:11.25pt;height:1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" filled="f" strokecolor="black [3213]" strokeweight="2pt">
                <v:textbox>
                  <w:txbxContent>
                    <w:p w:rsidR="00CD3337" w:rsidRDefault="00CD3337" w:rsidP="00CD3337">
                      <w:r>
                        <w:t>xxx</w:t>
                      </w:r>
                    </w:p>
                  </w:txbxContent>
                </v:textbox>
                <w10:wrap anchorx="margin"/>
              </v:rect>
            </w:pict>
          </mc:Fallback>
        </mc:AlternateContent>
      </w:r>
      <w:r w:rsidR="00CD3337" w:rsidRPr="007F3C68">
        <w:rPr>
          <w:rFonts w:cs="Arial"/>
          <w:b/>
          <w:bCs/>
          <w:color w:val="auto"/>
        </w:rPr>
        <w:t>Segundo.</w:t>
      </w:r>
      <w:r w:rsidR="00CD3337" w:rsidRPr="007F3C68">
        <w:rPr>
          <w:rFonts w:cs="Arial"/>
          <w:color w:val="auto"/>
        </w:rPr>
        <w:t xml:space="preserve"> Que se encuentra en la siguiente situación:</w:t>
      </w:r>
    </w:p>
    <w:p w:rsidR="00CD3337" w:rsidRPr="007F3C68" w:rsidRDefault="00CD3337" w:rsidP="009A7B99">
      <w:pPr>
        <w:widowControl w:val="0"/>
        <w:spacing w:before="120" w:after="120" w:line="276" w:lineRule="auto"/>
        <w:ind w:left="-142"/>
        <w:rPr>
          <w:rFonts w:cs="Arial"/>
          <w:color w:val="auto"/>
        </w:rPr>
      </w:pPr>
      <w:r w:rsidRPr="007F3C68">
        <w:rPr>
          <w:rFonts w:cs="Arial"/>
          <w:color w:val="auto"/>
        </w:rPr>
        <w:t xml:space="preserve">En el momento de la firma de esta declaración y a la luz de la información obrante en su poder, no se encuentra incurso en ninguna situación que pueda calificarse de conflicto de interés, en los términos previstos en el apartado cuatro de la disposición adicional centésima décima segunda, que pueda afectar al procedimiento, </w:t>
      </w:r>
      <w:r w:rsidRPr="007F3C68">
        <w:rPr>
          <w:rFonts w:cs="Arial"/>
          <w:b/>
          <w:color w:val="auto"/>
        </w:rPr>
        <w:t>siendo de aplicación el análisis sistemático del riesgo de conflicto de interés conforme dispone la Orden HFP/55/2023, de 24 de enero.</w:t>
      </w:r>
    </w:p>
    <w:p w:rsidR="00CD3337" w:rsidRPr="007F3C68" w:rsidRDefault="00CD3337" w:rsidP="009A7B99">
      <w:pPr>
        <w:widowControl w:val="0"/>
        <w:spacing w:before="120" w:after="120" w:line="276" w:lineRule="auto"/>
        <w:ind w:left="-142"/>
        <w:rPr>
          <w:rFonts w:cs="Arial"/>
          <w:color w:val="auto"/>
        </w:rPr>
      </w:pPr>
      <w:r w:rsidRPr="007F3C68">
        <w:rPr>
          <w:rFonts w:cs="Arial"/>
          <w:b/>
          <w:color w:val="auto"/>
        </w:rPr>
        <w:t>Tercero.</w:t>
      </w:r>
      <w:r w:rsidRPr="007F3C68">
        <w:rPr>
          <w:rFonts w:cs="Arial"/>
          <w:color w:val="auto"/>
        </w:rPr>
        <w:t xml:space="preserve"> Que se compromete a poner en conocimiento del órgano concedente</w:t>
      </w:r>
      <w:r w:rsidRPr="007F3C68">
        <w:rPr>
          <w:rFonts w:cs="Arial"/>
          <w:color w:val="auto"/>
          <w:lang w:val="it-IT"/>
        </w:rPr>
        <w:t>, sin dilación</w:t>
      </w:r>
      <w:r w:rsidRPr="007F3C68">
        <w:rPr>
          <w:rFonts w:cs="Arial"/>
          <w:color w:val="auto"/>
        </w:rPr>
        <w:t>, cualquier situación de conflicto de intereses o causa de abstención que pudiera conocer y producirse en cualquier momento del procedimiento en curso.</w:t>
      </w:r>
    </w:p>
    <w:p w:rsidR="00CD3337" w:rsidRPr="007F3C68" w:rsidRDefault="00CD3337" w:rsidP="009A7B99">
      <w:pPr>
        <w:ind w:left="-142"/>
        <w:rPr>
          <w:rFonts w:cs="Arial"/>
          <w:b/>
          <w:color w:val="auto"/>
        </w:rPr>
      </w:pPr>
      <w:r w:rsidRPr="007F3C68">
        <w:rPr>
          <w:rFonts w:cs="Arial"/>
          <w:b/>
          <w:color w:val="auto"/>
        </w:rPr>
        <w:t>Cuarto.</w:t>
      </w:r>
      <w:r w:rsidRPr="007F3C68">
        <w:rPr>
          <w:rFonts w:cs="Arial"/>
          <w:color w:val="auto"/>
        </w:rPr>
        <w:t xml:space="preserve"> Que conoce que, una declaración de ausencia de conflicto de intereses que se demuestre que sea falsa, acarreará las consecuencias disciplinarias/administrativas/judiciales que establezca la normativa de aplicación.</w:t>
      </w:r>
    </w:p>
    <w:p w:rsidR="00CD3337" w:rsidRPr="007F3C68" w:rsidRDefault="00CD3337" w:rsidP="009A7B99">
      <w:pPr>
        <w:widowControl w:val="0"/>
        <w:spacing w:before="120" w:after="120" w:line="276" w:lineRule="auto"/>
        <w:ind w:left="-142"/>
        <w:rPr>
          <w:rFonts w:cs="Arial"/>
          <w:color w:val="auto"/>
        </w:rPr>
      </w:pPr>
      <w:r w:rsidRPr="007F3C68">
        <w:rPr>
          <w:rFonts w:cs="Arial"/>
          <w:color w:val="auto"/>
        </w:rPr>
        <w:t>Y para que conste, se firma la presente declaración.</w:t>
      </w:r>
    </w:p>
    <w:p w:rsidR="00CD3337" w:rsidRPr="007F3C68" w:rsidRDefault="00CD3337" w:rsidP="009A7B99">
      <w:pPr>
        <w:widowControl w:val="0"/>
        <w:spacing w:before="60" w:after="60" w:line="276" w:lineRule="auto"/>
        <w:ind w:left="-142"/>
        <w:rPr>
          <w:rFonts w:cs="Arial"/>
          <w:color w:val="auto"/>
        </w:rPr>
      </w:pPr>
    </w:p>
    <w:p w:rsidR="00CD3337" w:rsidRPr="007F3C68" w:rsidRDefault="00CD3337" w:rsidP="009A7B99">
      <w:pPr>
        <w:widowControl w:val="0"/>
        <w:spacing w:before="60" w:after="60" w:line="276" w:lineRule="auto"/>
        <w:ind w:firstLine="0"/>
        <w:rPr>
          <w:rFonts w:cs="Arial"/>
          <w:color w:val="auto"/>
        </w:rPr>
      </w:pPr>
    </w:p>
    <w:p w:rsidR="00CD3337" w:rsidRPr="007F3C68" w:rsidRDefault="00CD3337" w:rsidP="009A7B99">
      <w:pPr>
        <w:widowControl w:val="0"/>
        <w:spacing w:before="60" w:after="60" w:line="276" w:lineRule="auto"/>
        <w:ind w:left="-142"/>
        <w:jc w:val="center"/>
        <w:rPr>
          <w:rFonts w:cs="Arial"/>
          <w:color w:val="auto"/>
        </w:rPr>
      </w:pPr>
      <w:r w:rsidRPr="007F3C68">
        <w:rPr>
          <w:rFonts w:cs="Arial"/>
          <w:color w:val="auto"/>
        </w:rPr>
        <w:t xml:space="preserve">En                             </w:t>
      </w:r>
      <w:proofErr w:type="gramStart"/>
      <w:r w:rsidRPr="007F3C68">
        <w:rPr>
          <w:rFonts w:cs="Arial"/>
          <w:color w:val="auto"/>
        </w:rPr>
        <w:t xml:space="preserve">  ,</w:t>
      </w:r>
      <w:proofErr w:type="gramEnd"/>
      <w:r w:rsidRPr="007F3C68">
        <w:rPr>
          <w:rFonts w:cs="Arial"/>
          <w:color w:val="auto"/>
        </w:rPr>
        <w:t xml:space="preserve"> a fecha de firma electrónica</w:t>
      </w:r>
    </w:p>
    <w:p w:rsidR="00CD3337" w:rsidRPr="007F3C68" w:rsidRDefault="00CD3337" w:rsidP="009A7B99">
      <w:pPr>
        <w:ind w:left="-142" w:firstLine="0"/>
        <w:rPr>
          <w:rFonts w:cs="Arial"/>
          <w:b/>
          <w:color w:val="auto"/>
        </w:rPr>
      </w:pPr>
    </w:p>
    <w:sectPr w:rsidR="00CD3337" w:rsidRPr="007F3C68" w:rsidSect="00C05FCF">
      <w:headerReference w:type="default" r:id="rId7"/>
      <w:footerReference w:type="default" r:id="rId8"/>
      <w:pgSz w:w="11906" w:h="16838"/>
      <w:pgMar w:top="1702" w:right="1133" w:bottom="1276"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337" w:rsidRDefault="00CD3337" w:rsidP="00CD3337">
      <w:pPr>
        <w:spacing w:after="0" w:line="240" w:lineRule="auto"/>
      </w:pPr>
      <w:r>
        <w:separator/>
      </w:r>
    </w:p>
  </w:endnote>
  <w:endnote w:type="continuationSeparator" w:id="0">
    <w:p w:rsidR="00CD3337" w:rsidRDefault="00CD3337" w:rsidP="00CD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5C4" w:rsidRPr="00A13796" w:rsidRDefault="00C05FCF" w:rsidP="005F26A4">
    <w:pPr>
      <w:pStyle w:val="Piedepgina"/>
      <w:ind w:firstLine="0"/>
      <w:jc w:val="center"/>
      <w:rPr>
        <w:caps/>
        <w:color w:val="000000" w:themeColor="text1"/>
      </w:rPr>
    </w:pPr>
  </w:p>
  <w:p w:rsidR="00DD75C4" w:rsidRDefault="00C05F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337" w:rsidRDefault="00CD3337" w:rsidP="00CD3337">
      <w:pPr>
        <w:spacing w:after="0" w:line="240" w:lineRule="auto"/>
      </w:pPr>
      <w:r>
        <w:separator/>
      </w:r>
    </w:p>
  </w:footnote>
  <w:footnote w:type="continuationSeparator" w:id="0">
    <w:p w:rsidR="00CD3337" w:rsidRDefault="00CD3337" w:rsidP="00CD3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5C4" w:rsidRDefault="00CD3337" w:rsidP="00077BBC">
    <w:pPr>
      <w:pStyle w:val="Encabezado"/>
      <w:tabs>
        <w:tab w:val="clear" w:pos="4252"/>
        <w:tab w:val="clear" w:pos="8504"/>
        <w:tab w:val="left" w:pos="973"/>
      </w:tabs>
    </w:pPr>
    <w:r>
      <w:rPr>
        <w:noProof/>
      </w:rPr>
      <w:drawing>
        <wp:anchor distT="0" distB="0" distL="114300" distR="114300" simplePos="0" relativeHeight="251662336" behindDoc="0" locked="0" layoutInCell="1" allowOverlap="1" wp14:anchorId="720A2F67" wp14:editId="0BC9780F">
          <wp:simplePos x="0" y="0"/>
          <wp:positionH relativeFrom="column">
            <wp:posOffset>1367790</wp:posOffset>
          </wp:positionH>
          <wp:positionV relativeFrom="paragraph">
            <wp:posOffset>-116205</wp:posOffset>
          </wp:positionV>
          <wp:extent cx="1675130" cy="365067"/>
          <wp:effectExtent l="0" t="0" r="127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36506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B0F91D1" wp14:editId="2F59EBDF">
          <wp:simplePos x="0" y="0"/>
          <wp:positionH relativeFrom="column">
            <wp:posOffset>-545465</wp:posOffset>
          </wp:positionH>
          <wp:positionV relativeFrom="paragraph">
            <wp:posOffset>-112395</wp:posOffset>
          </wp:positionV>
          <wp:extent cx="1500505" cy="361950"/>
          <wp:effectExtent l="0" t="0" r="444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obierno de Aragó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0505" cy="361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7BAA7E6" wp14:editId="3EC7ECE2">
          <wp:simplePos x="0" y="0"/>
          <wp:positionH relativeFrom="column">
            <wp:posOffset>4577080</wp:posOffset>
          </wp:positionH>
          <wp:positionV relativeFrom="paragraph">
            <wp:posOffset>-146685</wp:posOffset>
          </wp:positionV>
          <wp:extent cx="1342251" cy="356081"/>
          <wp:effectExtent l="0" t="0" r="0" b="635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 Financiado por la Unión Europea_PANTON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42251" cy="3560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6D77B23" wp14:editId="639BA9CE">
          <wp:simplePos x="0" y="0"/>
          <wp:positionH relativeFrom="column">
            <wp:posOffset>3431540</wp:posOffset>
          </wp:positionH>
          <wp:positionV relativeFrom="paragraph">
            <wp:posOffset>-213684</wp:posOffset>
          </wp:positionV>
          <wp:extent cx="812717" cy="457200"/>
          <wp:effectExtent l="0" t="0" r="698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LO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2717" cy="457200"/>
                  </a:xfrm>
                  <a:prstGeom prst="rect">
                    <a:avLst/>
                  </a:prstGeom>
                </pic:spPr>
              </pic:pic>
            </a:graphicData>
          </a:graphic>
          <wp14:sizeRelH relativeFrom="margin">
            <wp14:pctWidth>0</wp14:pctWidth>
          </wp14:sizeRelH>
          <wp14:sizeRelV relativeFrom="margin">
            <wp14:pctHeight>0</wp14:pctHeight>
          </wp14:sizeRelV>
        </wp:anchor>
      </w:drawing>
    </w:r>
    <w:r>
      <w:tab/>
    </w:r>
  </w:p>
  <w:p w:rsidR="00DD75C4" w:rsidRPr="00077BBC" w:rsidRDefault="00C05FCF" w:rsidP="00077B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2A9F"/>
    <w:multiLevelType w:val="hybridMultilevel"/>
    <w:tmpl w:val="85440EA0"/>
    <w:lvl w:ilvl="0" w:tplc="7FD22B3C">
      <w:start w:val="1"/>
      <w:numFmt w:val="decimal"/>
      <w:lvlText w:val="%1."/>
      <w:lvlJc w:val="left"/>
      <w:pPr>
        <w:ind w:left="1776" w:hanging="360"/>
      </w:pPr>
      <w:rPr>
        <w:rFonts w:hint="default"/>
        <w:sz w:val="22"/>
        <w:szCs w:val="22"/>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 w15:restartNumberingAfterBreak="0">
    <w:nsid w:val="1C314A4A"/>
    <w:multiLevelType w:val="hybridMultilevel"/>
    <w:tmpl w:val="E1C02B0E"/>
    <w:lvl w:ilvl="0" w:tplc="1C6229DA">
      <w:start w:val="4"/>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298E5685"/>
    <w:multiLevelType w:val="hybridMultilevel"/>
    <w:tmpl w:val="D5F22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D42EF5"/>
    <w:multiLevelType w:val="hybridMultilevel"/>
    <w:tmpl w:val="6B7C097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53377CD"/>
    <w:multiLevelType w:val="hybridMultilevel"/>
    <w:tmpl w:val="D3C26BAE"/>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A090871"/>
    <w:multiLevelType w:val="hybridMultilevel"/>
    <w:tmpl w:val="1C5A099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5671A47"/>
    <w:multiLevelType w:val="hybridMultilevel"/>
    <w:tmpl w:val="B50E674C"/>
    <w:lvl w:ilvl="0" w:tplc="3E1C0C7C">
      <w:numFmt w:val="bullet"/>
      <w:lvlText w:val="-"/>
      <w:lvlJc w:val="left"/>
      <w:pPr>
        <w:ind w:left="1440" w:hanging="360"/>
      </w:pPr>
      <w:rPr>
        <w:rFonts w:ascii="Cambria" w:eastAsia="MS Mincho" w:hAnsi="Cambria"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37"/>
    <w:rsid w:val="00191154"/>
    <w:rsid w:val="00313C18"/>
    <w:rsid w:val="009A7B99"/>
    <w:rsid w:val="00C05FCF"/>
    <w:rsid w:val="00CD3337"/>
    <w:rsid w:val="00F27D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60EBB-8DA6-4FAB-8357-5F65DE40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337"/>
    <w:pPr>
      <w:spacing w:after="180" w:line="336" w:lineRule="auto"/>
      <w:ind w:firstLine="567"/>
      <w:jc w:val="both"/>
    </w:pPr>
    <w:rPr>
      <w:rFonts w:ascii="Arial" w:eastAsia="Times New Roman" w:hAnsi="Arial" w:cs="Times New Roman"/>
      <w:color w:val="000000"/>
      <w:sz w:val="21"/>
      <w:szCs w:val="24"/>
      <w:lang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3337"/>
    <w:pPr>
      <w:spacing w:after="200" w:line="276" w:lineRule="auto"/>
      <w:ind w:left="720" w:firstLine="0"/>
      <w:contextualSpacing/>
      <w:jc w:val="left"/>
    </w:pPr>
    <w:rPr>
      <w:rFonts w:ascii="Calibri" w:eastAsia="Calibri" w:hAnsi="Calibri"/>
      <w:color w:val="auto"/>
      <w:sz w:val="22"/>
      <w:szCs w:val="22"/>
      <w:lang w:eastAsia="en-US"/>
    </w:rPr>
  </w:style>
  <w:style w:type="paragraph" w:styleId="Encabezado">
    <w:name w:val="header"/>
    <w:basedOn w:val="Normal"/>
    <w:link w:val="EncabezadoCar"/>
    <w:uiPriority w:val="99"/>
    <w:rsid w:val="00CD3337"/>
    <w:pPr>
      <w:tabs>
        <w:tab w:val="center" w:pos="4252"/>
        <w:tab w:val="right" w:pos="8504"/>
      </w:tabs>
      <w:spacing w:after="0" w:line="360" w:lineRule="auto"/>
      <w:ind w:firstLine="0"/>
    </w:pPr>
    <w:rPr>
      <w:rFonts w:ascii="Times New Roman" w:eastAsia="Calibri" w:hAnsi="Times New Roman"/>
      <w:color w:val="auto"/>
      <w:sz w:val="22"/>
      <w:lang w:eastAsia="es-ES"/>
    </w:rPr>
  </w:style>
  <w:style w:type="character" w:customStyle="1" w:styleId="EncabezadoCar">
    <w:name w:val="Encabezado Car"/>
    <w:basedOn w:val="Fuentedeprrafopredeter"/>
    <w:link w:val="Encabezado"/>
    <w:uiPriority w:val="99"/>
    <w:rsid w:val="00CD3337"/>
    <w:rPr>
      <w:rFonts w:ascii="Times New Roman" w:eastAsia="Calibri" w:hAnsi="Times New Roman" w:cs="Times New Roman"/>
      <w:szCs w:val="24"/>
      <w:lang w:eastAsia="es-ES"/>
    </w:rPr>
  </w:style>
  <w:style w:type="paragraph" w:styleId="Piedepgina">
    <w:name w:val="footer"/>
    <w:basedOn w:val="Normal"/>
    <w:link w:val="PiedepginaCar"/>
    <w:uiPriority w:val="99"/>
    <w:unhideWhenUsed/>
    <w:rsid w:val="00CD33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3337"/>
    <w:rPr>
      <w:rFonts w:ascii="Arial" w:eastAsia="Times New Roman" w:hAnsi="Arial" w:cs="Times New Roman"/>
      <w:color w:val="000000"/>
      <w:sz w:val="21"/>
      <w:szCs w:val="24"/>
      <w:lang w:eastAsia="de-DE"/>
    </w:rPr>
  </w:style>
  <w:style w:type="table" w:styleId="Tablaconcuadrcula">
    <w:name w:val="Table Grid"/>
    <w:basedOn w:val="Tablanormal"/>
    <w:uiPriority w:val="39"/>
    <w:rsid w:val="00CD3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D3337"/>
    <w:pPr>
      <w:spacing w:after="0" w:line="240" w:lineRule="auto"/>
      <w:ind w:firstLine="0"/>
      <w:jc w:val="left"/>
    </w:pPr>
    <w:rPr>
      <w:rFonts w:asciiTheme="minorHAnsi" w:eastAsiaTheme="minorHAnsi" w:hAnsiTheme="minorHAnsi" w:cstheme="minorBidi"/>
      <w:color w:val="auto"/>
      <w:sz w:val="20"/>
      <w:szCs w:val="20"/>
      <w:lang w:val="es-ES_tradnl" w:eastAsia="en-US"/>
    </w:rPr>
  </w:style>
  <w:style w:type="character" w:customStyle="1" w:styleId="TextonotapieCar">
    <w:name w:val="Texto nota pie Car"/>
    <w:basedOn w:val="Fuentedeprrafopredeter"/>
    <w:link w:val="Textonotapie"/>
    <w:uiPriority w:val="99"/>
    <w:semiHidden/>
    <w:rsid w:val="00CD3337"/>
    <w:rPr>
      <w:sz w:val="20"/>
      <w:szCs w:val="20"/>
      <w:lang w:val="es-ES_tradnl"/>
    </w:rPr>
  </w:style>
  <w:style w:type="character" w:styleId="Refdenotaalpie">
    <w:name w:val="footnote reference"/>
    <w:basedOn w:val="Fuentedeprrafopredeter"/>
    <w:uiPriority w:val="99"/>
    <w:semiHidden/>
    <w:unhideWhenUsed/>
    <w:rsid w:val="00CD33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853</Words>
  <Characters>4697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4</cp:revision>
  <cp:lastPrinted>2023-06-05T10:46:00Z</cp:lastPrinted>
  <dcterms:created xsi:type="dcterms:W3CDTF">2023-06-05T09:04:00Z</dcterms:created>
  <dcterms:modified xsi:type="dcterms:W3CDTF">2023-08-30T06:42:00Z</dcterms:modified>
</cp:coreProperties>
</file>